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3D8E" w:rsidRPr="004E72D1" w:rsidRDefault="00A73D8E" w:rsidP="00A73D8E">
      <w:r>
        <w:t xml:space="preserve">                                            </w:t>
      </w:r>
      <w:r w:rsidRPr="00D579C3">
        <w:rPr>
          <w:b/>
          <w:bCs/>
          <w:sz w:val="40"/>
          <w:szCs w:val="40"/>
        </w:rPr>
        <w:t xml:space="preserve">SIDS TO SUICIDE </w:t>
      </w:r>
    </w:p>
    <w:p w:rsidR="00A73D8E" w:rsidRDefault="00A73D8E" w:rsidP="00A73D8E">
      <w:pPr>
        <w:rPr>
          <w:sz w:val="40"/>
          <w:szCs w:val="40"/>
        </w:rPr>
      </w:pPr>
      <w:r>
        <w:rPr>
          <w:sz w:val="40"/>
          <w:szCs w:val="40"/>
        </w:rPr>
        <w:t xml:space="preserve">                           Cytochrome P450</w:t>
      </w:r>
    </w:p>
    <w:p w:rsidR="00A73D8E" w:rsidRDefault="00A73D8E" w:rsidP="00A73D8E">
      <w:pPr>
        <w:rPr>
          <w:sz w:val="40"/>
          <w:szCs w:val="40"/>
        </w:rPr>
      </w:pPr>
      <w:r>
        <w:rPr>
          <w:b/>
          <w:bCs/>
          <w:sz w:val="40"/>
          <w:szCs w:val="40"/>
        </w:rPr>
        <w:t xml:space="preserve">         </w:t>
      </w:r>
      <w:r w:rsidRPr="008A31C1">
        <w:rPr>
          <w:b/>
          <w:bCs/>
          <w:sz w:val="40"/>
          <w:szCs w:val="40"/>
        </w:rPr>
        <w:t>The missing piece</w:t>
      </w:r>
      <w:r>
        <w:rPr>
          <w:b/>
          <w:bCs/>
          <w:sz w:val="40"/>
          <w:szCs w:val="40"/>
        </w:rPr>
        <w:t>-</w:t>
      </w:r>
      <w:r w:rsidRPr="00D579C3">
        <w:rPr>
          <w:b/>
          <w:bCs/>
          <w:color w:val="FF0000"/>
          <w:sz w:val="40"/>
          <w:szCs w:val="40"/>
        </w:rPr>
        <w:t xml:space="preserve">the common thread </w:t>
      </w:r>
      <w:r>
        <w:rPr>
          <w:b/>
          <w:bCs/>
          <w:sz w:val="40"/>
          <w:szCs w:val="40"/>
        </w:rPr>
        <w:t>of</w:t>
      </w:r>
    </w:p>
    <w:p w:rsidR="00A73D8E" w:rsidRDefault="00A73D8E" w:rsidP="00A73D8E">
      <w:pPr>
        <w:rPr>
          <w:sz w:val="40"/>
          <w:szCs w:val="40"/>
        </w:rPr>
      </w:pPr>
      <w:r>
        <w:rPr>
          <w:sz w:val="40"/>
          <w:szCs w:val="40"/>
        </w:rPr>
        <w:t xml:space="preserve">           SIDS, Autism, Tylenol, Suicide, Homicide</w:t>
      </w:r>
    </w:p>
    <w:p w:rsidR="00A73D8E" w:rsidRDefault="00A73D8E" w:rsidP="00A73D8E">
      <w:pPr>
        <w:rPr>
          <w:sz w:val="40"/>
          <w:szCs w:val="40"/>
        </w:rPr>
      </w:pPr>
    </w:p>
    <w:p w:rsidR="00A73D8E" w:rsidRDefault="00A73D8E" w:rsidP="00A73D8E">
      <w:pPr>
        <w:rPr>
          <w:b/>
          <w:bCs/>
          <w:sz w:val="40"/>
          <w:szCs w:val="40"/>
        </w:rPr>
      </w:pPr>
      <w:r w:rsidRPr="009D4591">
        <w:rPr>
          <w:b/>
          <w:bCs/>
          <w:sz w:val="40"/>
          <w:szCs w:val="40"/>
        </w:rPr>
        <w:t>What is Cytochrome P450</w:t>
      </w:r>
    </w:p>
    <w:p w:rsidR="00A73D8E" w:rsidRDefault="00A73D8E" w:rsidP="00A73D8E">
      <w:pPr>
        <w:pStyle w:val="NormalWeb"/>
        <w:rPr>
          <w:color w:val="000000"/>
        </w:rPr>
      </w:pPr>
      <w:r>
        <w:rPr>
          <w:color w:val="000000"/>
        </w:rPr>
        <w:t>Cytochrome P450 (CYP450) refers to a superfamily of enzymes primarily located in the liver, but also present in the intestines, lungs, kidneys, mitochondria and other tissues. These enzymes play a central role in the phase I metabolism of endogenous compounds (e.g., hormones, fatty acids) and exogenous substances (e.g., drugs, environmental toxins,</w:t>
      </w:r>
      <w:r w:rsidR="00410FEC">
        <w:rPr>
          <w:color w:val="000000"/>
        </w:rPr>
        <w:t xml:space="preserve"> vaccine excipients</w:t>
      </w:r>
      <w:r>
        <w:rPr>
          <w:color w:val="000000"/>
        </w:rPr>
        <w:t xml:space="preserve"> and xenobiotics).</w:t>
      </w:r>
    </w:p>
    <w:p w:rsidR="00A73D8E" w:rsidRDefault="00A73D8E" w:rsidP="00A73D8E">
      <w:pPr>
        <w:pStyle w:val="NormalWeb"/>
        <w:rPr>
          <w:color w:val="000000"/>
        </w:rPr>
      </w:pPr>
      <w:r>
        <w:rPr>
          <w:color w:val="000000"/>
        </w:rPr>
        <w:t>The primary function of CYP450 enzymes is facilitating their subsequent elimination via phase II conjugation and renal or biliary excretion. They are responsible for the biotransformation of approximately 70–80% of clinically used drugs and are apparently involved in excreting vaccine excipients.</w:t>
      </w:r>
    </w:p>
    <w:p w:rsidR="00A73D8E" w:rsidRDefault="00A73D8E" w:rsidP="00A73D8E">
      <w:pPr>
        <w:pStyle w:val="NormalWeb"/>
        <w:rPr>
          <w:color w:val="000000"/>
        </w:rPr>
      </w:pPr>
      <w:r>
        <w:rPr>
          <w:color w:val="000000"/>
        </w:rPr>
        <w:t>:</w:t>
      </w:r>
      <w:r w:rsidR="00F4721C" w:rsidRPr="00F4721C">
        <w:rPr>
          <w:noProof/>
        </w:rPr>
        <w:t xml:space="preserve"> </w:t>
      </w:r>
      <w:r w:rsidR="00F4721C">
        <w:rPr>
          <w:noProof/>
        </w:rPr>
        <w:drawing>
          <wp:inline distT="0" distB="0" distL="0" distR="0" wp14:anchorId="70EA5752" wp14:editId="6924E045">
            <wp:extent cx="3882683" cy="2187328"/>
            <wp:effectExtent l="0" t="0" r="3810" b="0"/>
            <wp:docPr id="12843252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325221" name="Picture 1284325221"/>
                    <pic:cNvPicPr/>
                  </pic:nvPicPr>
                  <pic:blipFill>
                    <a:blip r:embed="rId5" cstate="print">
                      <a:extLst>
                        <a:ext uri="{28A0092B-C50C-407E-A947-70E740481C1C}">
                          <a14:useLocalDpi xmlns:a14="http://schemas.microsoft.com/office/drawing/2010/main" val="0"/>
                        </a:ext>
                      </a:extLst>
                    </a:blip>
                    <a:stretch>
                      <a:fillRect/>
                    </a:stretch>
                  </pic:blipFill>
                  <pic:spPr>
                    <a:xfrm>
                      <a:off x="0" y="0"/>
                      <a:ext cx="3899530" cy="2196819"/>
                    </a:xfrm>
                    <a:prstGeom prst="rect">
                      <a:avLst/>
                    </a:prstGeom>
                  </pic:spPr>
                </pic:pic>
              </a:graphicData>
            </a:graphic>
          </wp:inline>
        </w:drawing>
      </w:r>
    </w:p>
    <w:p w:rsidR="004E72D1" w:rsidRPr="004E72D1" w:rsidRDefault="004E72D1" w:rsidP="004E72D1">
      <w:pPr>
        <w:pStyle w:val="NormalWeb"/>
        <w:ind w:left="720"/>
        <w:rPr>
          <w:rStyle w:val="Strong"/>
          <w:b w:val="0"/>
          <w:bCs w:val="0"/>
          <w:color w:val="000000"/>
        </w:rPr>
      </w:pPr>
    </w:p>
    <w:p w:rsidR="004E72D1" w:rsidRPr="004E72D1" w:rsidRDefault="004E72D1" w:rsidP="004E72D1">
      <w:pPr>
        <w:pStyle w:val="NormalWeb"/>
        <w:ind w:left="720"/>
        <w:rPr>
          <w:rStyle w:val="Strong"/>
          <w:b w:val="0"/>
          <w:bCs w:val="0"/>
          <w:color w:val="000000"/>
        </w:rPr>
      </w:pPr>
    </w:p>
    <w:p w:rsidR="004E72D1" w:rsidRPr="004E72D1" w:rsidRDefault="004E72D1" w:rsidP="004E72D1">
      <w:pPr>
        <w:pStyle w:val="NormalWeb"/>
        <w:ind w:left="720"/>
        <w:rPr>
          <w:rStyle w:val="Strong"/>
          <w:b w:val="0"/>
          <w:bCs w:val="0"/>
          <w:color w:val="000000"/>
        </w:rPr>
      </w:pPr>
    </w:p>
    <w:p w:rsidR="004E72D1" w:rsidRPr="004E72D1" w:rsidRDefault="004E72D1" w:rsidP="004E72D1">
      <w:pPr>
        <w:pStyle w:val="NormalWeb"/>
        <w:ind w:left="720"/>
        <w:rPr>
          <w:rStyle w:val="Strong"/>
          <w:b w:val="0"/>
          <w:bCs w:val="0"/>
          <w:color w:val="000000"/>
        </w:rPr>
      </w:pPr>
    </w:p>
    <w:p w:rsidR="004E72D1" w:rsidRPr="004E72D1" w:rsidRDefault="004E72D1" w:rsidP="004E72D1">
      <w:pPr>
        <w:pStyle w:val="NormalWeb"/>
        <w:ind w:left="720"/>
        <w:rPr>
          <w:rStyle w:val="Strong"/>
          <w:b w:val="0"/>
          <w:bCs w:val="0"/>
          <w:color w:val="000000"/>
        </w:rPr>
      </w:pPr>
      <w:r>
        <w:rPr>
          <w:rStyle w:val="Strong"/>
          <w:rFonts w:eastAsiaTheme="majorEastAsia"/>
          <w:color w:val="000000"/>
        </w:rPr>
        <w:t>Key enzymes include:</w:t>
      </w:r>
    </w:p>
    <w:p w:rsidR="00A73D8E" w:rsidRDefault="00A73D8E" w:rsidP="004E72D1">
      <w:pPr>
        <w:pStyle w:val="NormalWeb"/>
        <w:rPr>
          <w:color w:val="000000"/>
        </w:rPr>
      </w:pPr>
      <w:r>
        <w:rPr>
          <w:rStyle w:val="Strong"/>
          <w:rFonts w:eastAsiaTheme="majorEastAsia"/>
          <w:color w:val="000000"/>
        </w:rPr>
        <w:t>CYP3A4</w:t>
      </w:r>
      <w:r>
        <w:rPr>
          <w:rStyle w:val="apple-converted-space"/>
          <w:rFonts w:eastAsiaTheme="majorEastAsia"/>
          <w:color w:val="000000"/>
        </w:rPr>
        <w:t> </w:t>
      </w:r>
      <w:r>
        <w:rPr>
          <w:color w:val="000000"/>
        </w:rPr>
        <w:t>– the most abundant and clinically significant, involved in the metabolism of over 50% of drugs.</w:t>
      </w:r>
    </w:p>
    <w:p w:rsidR="00A73D8E" w:rsidRDefault="00A73D8E" w:rsidP="004E72D1">
      <w:pPr>
        <w:pStyle w:val="NormalWeb"/>
        <w:rPr>
          <w:color w:val="000000"/>
        </w:rPr>
      </w:pPr>
      <w:r>
        <w:rPr>
          <w:rStyle w:val="Strong"/>
          <w:rFonts w:eastAsiaTheme="majorEastAsia"/>
          <w:color w:val="000000"/>
        </w:rPr>
        <w:t>CYP2D6</w:t>
      </w:r>
      <w:r>
        <w:rPr>
          <w:color w:val="000000"/>
        </w:rPr>
        <w:t>,</w:t>
      </w:r>
      <w:r>
        <w:rPr>
          <w:rStyle w:val="apple-converted-space"/>
          <w:rFonts w:eastAsiaTheme="majorEastAsia"/>
          <w:color w:val="000000"/>
        </w:rPr>
        <w:t> </w:t>
      </w:r>
      <w:r>
        <w:rPr>
          <w:rStyle w:val="Strong"/>
          <w:rFonts w:eastAsiaTheme="majorEastAsia"/>
          <w:color w:val="000000"/>
        </w:rPr>
        <w:t>CYP2C9</w:t>
      </w:r>
      <w:r>
        <w:rPr>
          <w:color w:val="000000"/>
        </w:rPr>
        <w:t>,</w:t>
      </w:r>
      <w:r>
        <w:rPr>
          <w:rStyle w:val="apple-converted-space"/>
          <w:rFonts w:eastAsiaTheme="majorEastAsia"/>
          <w:color w:val="000000"/>
        </w:rPr>
        <w:t> </w:t>
      </w:r>
      <w:r>
        <w:rPr>
          <w:rStyle w:val="Strong"/>
          <w:rFonts w:eastAsiaTheme="majorEastAsia"/>
          <w:color w:val="000000"/>
        </w:rPr>
        <w:t>CYP2C19</w:t>
      </w:r>
      <w:r>
        <w:rPr>
          <w:color w:val="000000"/>
        </w:rPr>
        <w:t>, and</w:t>
      </w:r>
      <w:r>
        <w:rPr>
          <w:rStyle w:val="apple-converted-space"/>
          <w:rFonts w:eastAsiaTheme="majorEastAsia"/>
          <w:color w:val="000000"/>
        </w:rPr>
        <w:t> </w:t>
      </w:r>
      <w:r>
        <w:rPr>
          <w:rStyle w:val="Strong"/>
          <w:rFonts w:eastAsiaTheme="majorEastAsia"/>
          <w:color w:val="000000"/>
        </w:rPr>
        <w:t>CYP1A2</w:t>
      </w:r>
      <w:r>
        <w:rPr>
          <w:rStyle w:val="apple-converted-space"/>
          <w:rFonts w:eastAsiaTheme="majorEastAsia"/>
          <w:color w:val="000000"/>
        </w:rPr>
        <w:t> </w:t>
      </w:r>
      <w:r>
        <w:rPr>
          <w:color w:val="000000"/>
        </w:rPr>
        <w:t>– other major contributors to drug metabolism.</w:t>
      </w:r>
    </w:p>
    <w:p w:rsidR="00A73D8E" w:rsidRDefault="00A73D8E" w:rsidP="004E72D1">
      <w:pPr>
        <w:pStyle w:val="NormalWeb"/>
        <w:rPr>
          <w:noProof/>
        </w:rPr>
      </w:pPr>
      <w:r>
        <w:rPr>
          <w:rStyle w:val="Strong"/>
          <w:rFonts w:eastAsiaTheme="majorEastAsia"/>
          <w:color w:val="000000"/>
        </w:rPr>
        <w:t>CYP2E1</w:t>
      </w:r>
      <w:r>
        <w:rPr>
          <w:rStyle w:val="apple-converted-space"/>
          <w:rFonts w:eastAsiaTheme="majorEastAsia"/>
          <w:color w:val="000000"/>
        </w:rPr>
        <w:t> </w:t>
      </w:r>
      <w:r>
        <w:rPr>
          <w:color w:val="000000"/>
        </w:rPr>
        <w:t>– notable for its role in metabolizing ethanol and activating certain procarcinogens.</w:t>
      </w:r>
      <w:r w:rsidR="00F4721C" w:rsidRPr="00F4721C">
        <w:rPr>
          <w:noProof/>
        </w:rPr>
        <w:t xml:space="preserve"> </w:t>
      </w:r>
    </w:p>
    <w:p w:rsidR="00410FEC" w:rsidRDefault="00410FEC" w:rsidP="004E72D1">
      <w:pPr>
        <w:pStyle w:val="NormalWeb"/>
        <w:rPr>
          <w:noProof/>
        </w:rPr>
      </w:pPr>
    </w:p>
    <w:p w:rsidR="00410FEC" w:rsidRPr="00410FEC" w:rsidRDefault="00410FEC" w:rsidP="004E72D1">
      <w:pPr>
        <w:pStyle w:val="NormalWeb"/>
        <w:rPr>
          <w:b/>
          <w:bCs/>
          <w:color w:val="000000"/>
          <w:sz w:val="32"/>
          <w:szCs w:val="32"/>
        </w:rPr>
      </w:pPr>
      <w:r w:rsidRPr="00410FEC">
        <w:rPr>
          <w:b/>
          <w:bCs/>
          <w:noProof/>
          <w:sz w:val="32"/>
          <w:szCs w:val="32"/>
        </w:rPr>
        <w:t xml:space="preserve">IMMATURITY OF CYP450 IN INFANTS </w:t>
      </w:r>
    </w:p>
    <w:p w:rsidR="00A73D8E" w:rsidRPr="00066E56" w:rsidRDefault="00A73D8E" w:rsidP="00A73D8E">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w:t>
      </w:r>
      <w:r w:rsidRPr="00066E56">
        <w:rPr>
          <w:rFonts w:ascii="Times New Roman" w:eastAsia="Times New Roman" w:hAnsi="Times New Roman" w:cs="Times New Roman"/>
          <w:color w:val="000000"/>
        </w:rPr>
        <w:t>he immaturity of cytochrome P450 (CYP450) enzymes in infants and young children</w:t>
      </w:r>
      <w:r>
        <w:rPr>
          <w:rFonts w:ascii="Times New Roman" w:eastAsia="Times New Roman" w:hAnsi="Times New Roman" w:cs="Times New Roman"/>
          <w:color w:val="000000"/>
        </w:rPr>
        <w:t xml:space="preserve"> </w:t>
      </w:r>
      <w:r w:rsidRPr="00066E56">
        <w:rPr>
          <w:rFonts w:ascii="Times New Roman" w:eastAsia="Times New Roman" w:hAnsi="Times New Roman" w:cs="Times New Roman"/>
          <w:color w:val="000000"/>
        </w:rPr>
        <w:t>limits their capacity to detoxify vaccine excipients and adjuvants such as aluminum, mercury, formaldehyde, and polysorbate 80</w:t>
      </w:r>
      <w:r>
        <w:rPr>
          <w:rFonts w:ascii="Times New Roman" w:eastAsia="Times New Roman" w:hAnsi="Times New Roman" w:cs="Times New Roman"/>
          <w:color w:val="000000"/>
        </w:rPr>
        <w:t>, ethanol, and more…</w:t>
      </w:r>
    </w:p>
    <w:p w:rsidR="00A73D8E" w:rsidRDefault="00A73D8E" w:rsidP="00A73D8E">
      <w:pPr>
        <w:spacing w:before="100" w:beforeAutospacing="1" w:after="100" w:afterAutospacing="1" w:line="240" w:lineRule="auto"/>
        <w:rPr>
          <w:rFonts w:ascii="Times New Roman" w:eastAsia="Times New Roman" w:hAnsi="Times New Roman" w:cs="Times New Roman"/>
          <w:color w:val="000000"/>
        </w:rPr>
      </w:pPr>
      <w:r w:rsidRPr="00066E56">
        <w:rPr>
          <w:rFonts w:ascii="Times New Roman" w:eastAsia="Times New Roman" w:hAnsi="Times New Roman" w:cs="Times New Roman"/>
          <w:color w:val="000000"/>
        </w:rPr>
        <w:t>At birth, CYP450 enzyme activity is significantly underdeveloped. While some enzymes, like CYP3A4, begin to mature within the first year of life, others—such as CYP2C9 and CYP2D6—may not reach adult levels until ages 5 to 10. Full metabolic capacity typically isn’t achieved until after age three. During this developmental window, repeated exposure to vaccine components can result in their accumulation, potentially crossing the blood-brain barrier and contributing to adverse neurological outcomes, including regressive autism.</w:t>
      </w:r>
    </w:p>
    <w:p w:rsidR="00410FEC" w:rsidRDefault="00A73D8E" w:rsidP="00A73D8E">
      <w:pPr>
        <w:spacing w:before="100" w:beforeAutospacing="1" w:after="100" w:afterAutospacing="1" w:line="240" w:lineRule="auto"/>
        <w:rPr>
          <w:rFonts w:ascii="Times New Roman" w:eastAsia="Times New Roman" w:hAnsi="Times New Roman" w:cs="Times New Roman"/>
          <w:color w:val="000000"/>
        </w:rPr>
      </w:pPr>
      <w:r>
        <w:rPr>
          <w:rFonts w:ascii="Times New Roman" w:eastAsia="Times New Roman" w:hAnsi="Times New Roman" w:cs="Times New Roman"/>
          <w:noProof/>
          <w:color w:val="000000"/>
        </w:rPr>
        <w:drawing>
          <wp:inline distT="0" distB="0" distL="0" distR="0" wp14:anchorId="74ECCD69" wp14:editId="3B91302D">
            <wp:extent cx="5943600" cy="3411855"/>
            <wp:effectExtent l="0" t="0" r="0" b="4445"/>
            <wp:docPr id="14840568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4056810" name="Picture 1484056810"/>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3600" cy="3411855"/>
                    </a:xfrm>
                    <a:prstGeom prst="rect">
                      <a:avLst/>
                    </a:prstGeom>
                  </pic:spPr>
                </pic:pic>
              </a:graphicData>
            </a:graphic>
          </wp:inline>
        </w:drawing>
      </w:r>
    </w:p>
    <w:p w:rsidR="00A73D8E" w:rsidRDefault="00A73D8E" w:rsidP="00A73D8E">
      <w:pPr>
        <w:spacing w:before="100" w:beforeAutospacing="1" w:after="100" w:afterAutospacing="1" w:line="240" w:lineRule="auto"/>
        <w:rPr>
          <w:rFonts w:ascii="Times New Roman" w:eastAsia="Times New Roman" w:hAnsi="Times New Roman" w:cs="Times New Roman"/>
          <w:color w:val="000000"/>
        </w:rPr>
      </w:pPr>
      <w:r w:rsidRPr="00066E56">
        <w:rPr>
          <w:rFonts w:ascii="Times New Roman" w:eastAsia="Times New Roman" w:hAnsi="Times New Roman" w:cs="Times New Roman"/>
          <w:color w:val="000000"/>
        </w:rPr>
        <w:lastRenderedPageBreak/>
        <w:t xml:space="preserve">Genetic </w:t>
      </w:r>
      <w:r>
        <w:rPr>
          <w:rFonts w:ascii="Times New Roman" w:eastAsia="Times New Roman" w:hAnsi="Times New Roman" w:cs="Times New Roman"/>
          <w:color w:val="000000"/>
        </w:rPr>
        <w:t>“</w:t>
      </w:r>
      <w:r w:rsidRPr="00066E56">
        <w:rPr>
          <w:rFonts w:ascii="Times New Roman" w:eastAsia="Times New Roman" w:hAnsi="Times New Roman" w:cs="Times New Roman"/>
          <w:color w:val="000000"/>
        </w:rPr>
        <w:t>polymorphisms</w:t>
      </w:r>
      <w:r>
        <w:rPr>
          <w:rFonts w:ascii="Times New Roman" w:eastAsia="Times New Roman" w:hAnsi="Times New Roman" w:cs="Times New Roman"/>
          <w:color w:val="000000"/>
        </w:rPr>
        <w:t>” (no activity of a specific enzyme)</w:t>
      </w:r>
      <w:r w:rsidRPr="00066E56">
        <w:rPr>
          <w:rFonts w:ascii="Times New Roman" w:eastAsia="Times New Roman" w:hAnsi="Times New Roman" w:cs="Times New Roman"/>
          <w:color w:val="000000"/>
        </w:rPr>
        <w:t xml:space="preserve"> further influence CYP450 activity, explaining why some children experience severe vaccine reactions while others do not. Ethnicity, inherited gene variants, and epigenetic factors can all affect how efficiently these enzymes process and clear toxins. Individuals with impaired CYP450 function—especially involving genes like </w:t>
      </w:r>
      <w:r w:rsidRPr="00066E56">
        <w:rPr>
          <w:rFonts w:ascii="Times New Roman" w:eastAsia="Times New Roman" w:hAnsi="Times New Roman" w:cs="Times New Roman"/>
          <w:i/>
          <w:iCs/>
          <w:color w:val="000000"/>
        </w:rPr>
        <w:t>CYP2E1</w:t>
      </w:r>
      <w:r w:rsidRPr="00066E56">
        <w:rPr>
          <w:rFonts w:ascii="Times New Roman" w:eastAsia="Times New Roman" w:hAnsi="Times New Roman" w:cs="Times New Roman"/>
          <w:color w:val="000000"/>
        </w:rPr>
        <w:t>or </w:t>
      </w:r>
      <w:r w:rsidRPr="00066E56">
        <w:rPr>
          <w:rFonts w:ascii="Times New Roman" w:eastAsia="Times New Roman" w:hAnsi="Times New Roman" w:cs="Times New Roman"/>
          <w:i/>
          <w:iCs/>
          <w:color w:val="000000"/>
        </w:rPr>
        <w:t>CYP2D6</w:t>
      </w:r>
      <w:r w:rsidRPr="00066E56">
        <w:rPr>
          <w:rFonts w:ascii="Times New Roman" w:eastAsia="Times New Roman" w:hAnsi="Times New Roman" w:cs="Times New Roman"/>
          <w:color w:val="000000"/>
        </w:rPr>
        <w:t>—are more susceptible to environmental toxins and may face heightened risks from both vaccines and medications.</w:t>
      </w:r>
    </w:p>
    <w:p w:rsidR="00A73D8E" w:rsidRDefault="00A73D8E" w:rsidP="00A73D8E"/>
    <w:p w:rsidR="00A73D8E" w:rsidRDefault="00A73D8E" w:rsidP="00A73D8E">
      <w:r>
        <w:t xml:space="preserve">                              </w:t>
      </w:r>
      <w:r>
        <w:rPr>
          <w:rFonts w:ascii="Times New Roman" w:eastAsia="Times New Roman" w:hAnsi="Times New Roman" w:cs="Times New Roman"/>
          <w:b/>
          <w:bCs/>
          <w:noProof/>
          <w:kern w:val="36"/>
        </w:rPr>
        <w:drawing>
          <wp:inline distT="0" distB="0" distL="0" distR="0" wp14:anchorId="4BF21214" wp14:editId="20AC5A0A">
            <wp:extent cx="3988191" cy="3649026"/>
            <wp:effectExtent l="0" t="0" r="0" b="0"/>
            <wp:docPr id="1376472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47285" name="Picture 137647285"/>
                    <pic:cNvPicPr/>
                  </pic:nvPicPr>
                  <pic:blipFill>
                    <a:blip r:embed="rId7">
                      <a:extLst>
                        <a:ext uri="{28A0092B-C50C-407E-A947-70E740481C1C}">
                          <a14:useLocalDpi xmlns:a14="http://schemas.microsoft.com/office/drawing/2010/main" val="0"/>
                        </a:ext>
                      </a:extLst>
                    </a:blip>
                    <a:stretch>
                      <a:fillRect/>
                    </a:stretch>
                  </pic:blipFill>
                  <pic:spPr>
                    <a:xfrm>
                      <a:off x="0" y="0"/>
                      <a:ext cx="4062900" cy="3717382"/>
                    </a:xfrm>
                    <a:prstGeom prst="rect">
                      <a:avLst/>
                    </a:prstGeom>
                  </pic:spPr>
                </pic:pic>
              </a:graphicData>
            </a:graphic>
          </wp:inline>
        </w:drawing>
      </w:r>
    </w:p>
    <w:p w:rsidR="00A73D8E" w:rsidRDefault="00A73D8E" w:rsidP="00A73D8E">
      <w:hyperlink r:id="rId8" w:history="1">
        <w:r w:rsidRPr="008A31C1">
          <w:rPr>
            <w:rStyle w:val="Hyperlink"/>
          </w:rPr>
          <w:t>https://childrenshealthdefense.org/defender/vaccines-toxic-ingredients-sids-some-infants-study/?utm_id=20250603</w:t>
        </w:r>
      </w:hyperlink>
    </w:p>
    <w:p w:rsidR="00A73D8E" w:rsidRDefault="00A73D8E" w:rsidP="00A73D8E">
      <w:pPr>
        <w:spacing w:before="100" w:beforeAutospacing="1" w:after="100" w:afterAutospacing="1" w:line="240" w:lineRule="auto"/>
        <w:outlineLvl w:val="0"/>
      </w:pPr>
      <w:r>
        <w:t xml:space="preserve">*Study by Dr. Gary Goldman:  </w:t>
      </w:r>
      <w:hyperlink r:id="rId9" w:history="1">
        <w:r w:rsidRPr="00B76376">
          <w:rPr>
            <w:rStyle w:val="Hyperlink"/>
            <w:rFonts w:ascii="Times New Roman" w:eastAsia="Times New Roman" w:hAnsi="Times New Roman" w:cs="Times New Roman"/>
            <w:b/>
            <w:bCs/>
            <w:kern w:val="36"/>
            <w14:ligatures w14:val="none"/>
          </w:rPr>
          <w:t>The Immature Infant Liver: Cytochrome P450 Enzymes and their Relevance to Vaccine Safety and SIDS Research</w:t>
        </w:r>
      </w:hyperlink>
    </w:p>
    <w:p w:rsidR="00A73D8E" w:rsidRDefault="00A73D8E" w:rsidP="00A73D8E">
      <w:pPr>
        <w:spacing w:before="100" w:beforeAutospacing="1" w:after="100" w:afterAutospacing="1" w:line="240" w:lineRule="auto"/>
        <w:outlineLvl w:val="0"/>
      </w:pPr>
    </w:p>
    <w:p w:rsidR="00A73D8E" w:rsidRDefault="00A73D8E" w:rsidP="00A73D8E">
      <w:pPr>
        <w:spacing w:before="100" w:beforeAutospacing="1" w:after="100" w:afterAutospacing="1" w:line="240" w:lineRule="auto"/>
        <w:outlineLvl w:val="0"/>
      </w:pPr>
      <w:r>
        <w:t>____________________________________________________________________________________________________________________________________________________________</w:t>
      </w:r>
    </w:p>
    <w:p w:rsidR="00A73D8E" w:rsidRDefault="00A73D8E" w:rsidP="00A73D8E">
      <w:pPr>
        <w:spacing w:before="100" w:beforeAutospacing="1" w:after="100" w:afterAutospacing="1" w:line="240" w:lineRule="auto"/>
        <w:outlineLvl w:val="0"/>
        <w:rPr>
          <w:b/>
          <w:bCs/>
          <w:sz w:val="48"/>
          <w:szCs w:val="48"/>
        </w:rPr>
      </w:pPr>
    </w:p>
    <w:p w:rsidR="00410FEC" w:rsidRDefault="00410FEC" w:rsidP="00A73D8E">
      <w:pPr>
        <w:spacing w:before="100" w:beforeAutospacing="1" w:after="100" w:afterAutospacing="1" w:line="240" w:lineRule="auto"/>
        <w:outlineLvl w:val="0"/>
        <w:rPr>
          <w:b/>
          <w:bCs/>
          <w:sz w:val="48"/>
          <w:szCs w:val="48"/>
        </w:rPr>
      </w:pPr>
    </w:p>
    <w:p w:rsidR="00A73D8E" w:rsidRPr="00B206B4" w:rsidRDefault="00A73D8E" w:rsidP="00A73D8E">
      <w:pPr>
        <w:spacing w:before="100" w:beforeAutospacing="1" w:after="100" w:afterAutospacing="1" w:line="240" w:lineRule="auto"/>
        <w:outlineLvl w:val="0"/>
        <w:rPr>
          <w:b/>
          <w:bCs/>
          <w:sz w:val="40"/>
          <w:szCs w:val="40"/>
        </w:rPr>
      </w:pPr>
      <w:r w:rsidRPr="00B206B4">
        <w:rPr>
          <w:b/>
          <w:bCs/>
          <w:sz w:val="40"/>
          <w:szCs w:val="40"/>
        </w:rPr>
        <w:lastRenderedPageBreak/>
        <w:t xml:space="preserve">TYLENOL and </w:t>
      </w:r>
      <w:proofErr w:type="spellStart"/>
      <w:r w:rsidRPr="00B206B4">
        <w:rPr>
          <w:b/>
          <w:bCs/>
          <w:sz w:val="40"/>
          <w:szCs w:val="40"/>
        </w:rPr>
        <w:t>Cyp</w:t>
      </w:r>
      <w:proofErr w:type="spellEnd"/>
      <w:r w:rsidRPr="00B206B4">
        <w:rPr>
          <w:b/>
          <w:bCs/>
          <w:sz w:val="40"/>
          <w:szCs w:val="40"/>
        </w:rPr>
        <w:t xml:space="preserve"> 450</w:t>
      </w:r>
    </w:p>
    <w:p w:rsidR="004E72D1" w:rsidRPr="004E72D1" w:rsidRDefault="004E72D1" w:rsidP="00A73D8E">
      <w:pPr>
        <w:spacing w:before="100" w:beforeAutospacing="1" w:after="100" w:afterAutospacing="1" w:line="240" w:lineRule="auto"/>
        <w:outlineLvl w:val="0"/>
        <w:rPr>
          <w:rFonts w:ascii="Times New Roman" w:eastAsia="Times New Roman" w:hAnsi="Times New Roman" w:cs="Times New Roman"/>
          <w:b/>
          <w:bCs/>
          <w:kern w:val="36"/>
          <w14:ligatures w14:val="none"/>
        </w:rPr>
      </w:pPr>
      <w:r>
        <w:rPr>
          <w:rStyle w:val="n9q8lc"/>
        </w:rPr>
        <w:t>Tylenol (</w:t>
      </w:r>
      <w:hyperlink r:id="rId10" w:tgtFrame="_blank" w:history="1">
        <w:r>
          <w:rPr>
            <w:rStyle w:val="n9q8lc"/>
            <w:color w:val="681DA8"/>
          </w:rPr>
          <w:t>acetaminophen</w:t>
        </w:r>
      </w:hyperlink>
      <w:r>
        <w:rPr>
          <w:rStyle w:val="n9q8lc"/>
        </w:rPr>
        <w:t>) is processed by Cytochrome P450 (CYP) enzymes, specifically</w:t>
      </w:r>
      <w:r>
        <w:rPr>
          <w:rStyle w:val="apple-converted-space"/>
        </w:rPr>
        <w:t> </w:t>
      </w:r>
      <w:hyperlink r:id="rId11" w:tgtFrame="_blank" w:history="1">
        <w:r>
          <w:rPr>
            <w:rStyle w:val="n9q8lc"/>
            <w:color w:val="681DA8"/>
          </w:rPr>
          <w:t>CYP1A2</w:t>
        </w:r>
      </w:hyperlink>
      <w:r>
        <w:rPr>
          <w:rStyle w:val="n9q8lc"/>
        </w:rPr>
        <w:t>,</w:t>
      </w:r>
      <w:r>
        <w:rPr>
          <w:rStyle w:val="apple-converted-space"/>
        </w:rPr>
        <w:t> </w:t>
      </w:r>
      <w:hyperlink r:id="rId12" w:tgtFrame="_blank" w:history="1">
        <w:r>
          <w:rPr>
            <w:rStyle w:val="n9q8lc"/>
            <w:color w:val="681DA8"/>
          </w:rPr>
          <w:t>CYP2E1</w:t>
        </w:r>
      </w:hyperlink>
      <w:r>
        <w:rPr>
          <w:rStyle w:val="n9q8lc"/>
        </w:rPr>
        <w:t>, and</w:t>
      </w:r>
      <w:r>
        <w:rPr>
          <w:rStyle w:val="apple-converted-space"/>
        </w:rPr>
        <w:t> </w:t>
      </w:r>
      <w:hyperlink r:id="rId13" w:tgtFrame="_blank" w:history="1">
        <w:r>
          <w:rPr>
            <w:rStyle w:val="n9q8lc"/>
            <w:color w:val="681DA8"/>
          </w:rPr>
          <w:t>CYP3A4</w:t>
        </w:r>
      </w:hyperlink>
      <w:r>
        <w:rPr>
          <w:rStyle w:val="n9q8lc"/>
        </w:rPr>
        <w:t>, which convert it to a toxic byproduct called NAPQI (N-acetyl-p-benzoquinone-imine)</w:t>
      </w:r>
      <w:r>
        <w:rPr>
          <w:rStyle w:val="n9q8lc"/>
          <w:rFonts w:ascii="Roboto" w:hAnsi="Roboto"/>
          <w:color w:val="001D35"/>
        </w:rPr>
        <w:t>.</w:t>
      </w:r>
    </w:p>
    <w:p w:rsidR="00A73D8E" w:rsidRPr="0035151D" w:rsidRDefault="00A73D8E" w:rsidP="00A73D8E">
      <w:pPr>
        <w:spacing w:after="0" w:line="240" w:lineRule="auto"/>
        <w:rPr>
          <w:rFonts w:ascii="Roboto" w:eastAsia="Times New Roman" w:hAnsi="Roboto" w:cs="Times New Roman"/>
          <w:b/>
          <w:bCs/>
          <w:color w:val="001D35"/>
          <w:kern w:val="0"/>
          <w14:ligatures w14:val="none"/>
        </w:rPr>
      </w:pPr>
      <w:r w:rsidRPr="0035151D">
        <w:rPr>
          <w:rFonts w:ascii="Roboto" w:eastAsia="Times New Roman" w:hAnsi="Roboto" w:cs="Times New Roman"/>
          <w:b/>
          <w:bCs/>
          <w:color w:val="001D35"/>
          <w:kern w:val="0"/>
          <w14:ligatures w14:val="none"/>
        </w:rPr>
        <w:t>NAPQI (N-acetyl-p-benzoquinone imine) toxicity </w:t>
      </w:r>
    </w:p>
    <w:p w:rsidR="00A73D8E" w:rsidRDefault="00A73D8E" w:rsidP="00A73D8E">
      <w:pPr>
        <w:spacing w:after="0" w:line="240" w:lineRule="auto"/>
        <w:rPr>
          <w:rFonts w:ascii="Roboto" w:eastAsia="Times New Roman" w:hAnsi="Roboto" w:cs="Times New Roman"/>
          <w:color w:val="001D35"/>
          <w:kern w:val="0"/>
          <w:shd w:val="clear" w:color="auto" w:fill="FFFFFF"/>
          <w14:ligatures w14:val="none"/>
        </w:rPr>
      </w:pPr>
      <w:r w:rsidRPr="00720CEF">
        <w:rPr>
          <w:rFonts w:ascii="Roboto" w:eastAsia="Times New Roman" w:hAnsi="Roboto" w:cs="Times New Roman"/>
          <w:color w:val="001D35"/>
          <w:kern w:val="0"/>
          <w:shd w:val="clear" w:color="auto" w:fill="FFFFFF"/>
          <w14:ligatures w14:val="none"/>
        </w:rPr>
        <w:t>occurs from an overdose of acetaminophen (APAP), which is a common occurrence in pregnancy. While NAPQI does not cross the placenta, the parent compound, APAP, does, posing a risk of liver damage to both the mother and the fetus. Fetal risk increases after 14 weeks gestation when the fetal liver begins metabolizing APAP into NAPQI</w:t>
      </w:r>
    </w:p>
    <w:p w:rsidR="004E72D1" w:rsidRPr="00720CEF" w:rsidRDefault="004E72D1" w:rsidP="00A73D8E">
      <w:pPr>
        <w:spacing w:after="0" w:line="240" w:lineRule="auto"/>
        <w:rPr>
          <w:rFonts w:ascii="Times New Roman" w:eastAsia="Times New Roman" w:hAnsi="Times New Roman" w:cs="Times New Roman"/>
          <w:kern w:val="0"/>
          <w14:ligatures w14:val="none"/>
        </w:rPr>
      </w:pPr>
    </w:p>
    <w:p w:rsidR="00A73D8E" w:rsidRPr="00720CEF" w:rsidRDefault="00A73D8E" w:rsidP="00A73D8E">
      <w:pPr>
        <w:spacing w:after="0" w:line="240" w:lineRule="auto"/>
        <w:rPr>
          <w:rFonts w:ascii="Roboto" w:eastAsia="Times New Roman" w:hAnsi="Roboto" w:cs="Times New Roman"/>
          <w:color w:val="001D35"/>
          <w:kern w:val="0"/>
          <w14:ligatures w14:val="none"/>
        </w:rPr>
      </w:pPr>
    </w:p>
    <w:p w:rsidR="00A73D8E" w:rsidRPr="00720CEF" w:rsidRDefault="00A73D8E" w:rsidP="00A73D8E">
      <w:pPr>
        <w:numPr>
          <w:ilvl w:val="0"/>
          <w:numId w:val="3"/>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t>Normal APAP metabolism:</w:t>
      </w:r>
      <w:r w:rsidRPr="00720CEF">
        <w:rPr>
          <w:rFonts w:ascii="Roboto" w:eastAsia="Times New Roman" w:hAnsi="Roboto" w:cs="Times New Roman"/>
          <w:color w:val="001D35"/>
          <w:kern w:val="0"/>
          <w14:ligatures w14:val="none"/>
        </w:rPr>
        <w:t> At therapeutic doses, acetaminophen is metabolized in the liver and detoxified by glutathione.</w:t>
      </w:r>
    </w:p>
    <w:p w:rsidR="00A73D8E" w:rsidRPr="00720CEF" w:rsidRDefault="00A73D8E" w:rsidP="00A73D8E">
      <w:pPr>
        <w:numPr>
          <w:ilvl w:val="0"/>
          <w:numId w:val="3"/>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t>Overdose:</w:t>
      </w:r>
      <w:r w:rsidRPr="00720CEF">
        <w:rPr>
          <w:rFonts w:ascii="Roboto" w:eastAsia="Times New Roman" w:hAnsi="Roboto" w:cs="Times New Roman"/>
          <w:color w:val="001D35"/>
          <w:kern w:val="0"/>
          <w14:ligatures w14:val="none"/>
        </w:rPr>
        <w:t> In an overdose, the glutathione supply is exhausted, and the APAP is shunted to the cytochrome P450 (CYP450) system, which produces the toxic metabolite NAPQI.</w:t>
      </w:r>
    </w:p>
    <w:p w:rsidR="00A73D8E" w:rsidRPr="00720CEF" w:rsidRDefault="00A73D8E" w:rsidP="00A73D8E">
      <w:pPr>
        <w:numPr>
          <w:ilvl w:val="0"/>
          <w:numId w:val="3"/>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t>Cellular damage:</w:t>
      </w:r>
      <w:r w:rsidRPr="00720CEF">
        <w:rPr>
          <w:rFonts w:ascii="Roboto" w:eastAsia="Times New Roman" w:hAnsi="Roboto" w:cs="Times New Roman"/>
          <w:color w:val="001D35"/>
          <w:kern w:val="0"/>
          <w14:ligatures w14:val="none"/>
        </w:rPr>
        <w:t> In the absence of sufficient glutathione, NAPQI binds to and damages liver cells, leading to severe hepatotoxicity, acute liver failure, and potentially death.</w:t>
      </w:r>
    </w:p>
    <w:p w:rsidR="00A73D8E" w:rsidRPr="00720CEF" w:rsidRDefault="00A73D8E" w:rsidP="00A73D8E">
      <w:pPr>
        <w:numPr>
          <w:ilvl w:val="0"/>
          <w:numId w:val="3"/>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t>Fetal susceptibility:</w:t>
      </w:r>
    </w:p>
    <w:p w:rsidR="00A73D8E" w:rsidRPr="00720CEF" w:rsidRDefault="00A73D8E" w:rsidP="00A73D8E">
      <w:pPr>
        <w:numPr>
          <w:ilvl w:val="1"/>
          <w:numId w:val="3"/>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color w:val="001D35"/>
          <w:kern w:val="0"/>
          <w14:ligatures w14:val="none"/>
        </w:rPr>
        <w:t>The fetus can produce its own NAPQI starting around 14 weeks gestation and has a limited supply of glutathione, making it vulnerable to APAP's effects.</w:t>
      </w:r>
    </w:p>
    <w:p w:rsidR="00A73D8E" w:rsidRPr="00720CEF" w:rsidRDefault="00A73D8E" w:rsidP="00A73D8E">
      <w:pPr>
        <w:numPr>
          <w:ilvl w:val="1"/>
          <w:numId w:val="3"/>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color w:val="001D35"/>
          <w:kern w:val="0"/>
          <w14:ligatures w14:val="none"/>
        </w:rPr>
        <w:t>The fetal liver's CYP450 activity increases with gestational age, peaking in the third trimester. </w:t>
      </w:r>
    </w:p>
    <w:p w:rsidR="00A73D8E" w:rsidRPr="0035151D" w:rsidRDefault="00A73D8E" w:rsidP="00A73D8E">
      <w:pPr>
        <w:spacing w:after="0" w:line="240" w:lineRule="auto"/>
        <w:rPr>
          <w:rFonts w:ascii="Roboto" w:eastAsia="Times New Roman" w:hAnsi="Roboto" w:cs="Times New Roman"/>
          <w:color w:val="001D35"/>
          <w:kern w:val="0"/>
          <w:sz w:val="32"/>
          <w:szCs w:val="32"/>
          <w14:ligatures w14:val="none"/>
        </w:rPr>
      </w:pPr>
      <w:r w:rsidRPr="0035151D">
        <w:rPr>
          <w:rFonts w:ascii="Roboto" w:eastAsia="Times New Roman" w:hAnsi="Roboto" w:cs="Times New Roman"/>
          <w:b/>
          <w:bCs/>
          <w:color w:val="001D35"/>
          <w:kern w:val="0"/>
          <w:sz w:val="32"/>
          <w:szCs w:val="32"/>
          <w14:ligatures w14:val="none"/>
        </w:rPr>
        <w:t>Maternal effects</w:t>
      </w:r>
    </w:p>
    <w:p w:rsidR="00A73D8E" w:rsidRPr="00720CEF" w:rsidRDefault="00A73D8E" w:rsidP="00A73D8E">
      <w:pPr>
        <w:numPr>
          <w:ilvl w:val="0"/>
          <w:numId w:val="2"/>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t>Hepatic:</w:t>
      </w:r>
      <w:r w:rsidRPr="00720CEF">
        <w:rPr>
          <w:rFonts w:ascii="Roboto" w:eastAsia="Times New Roman" w:hAnsi="Roboto" w:cs="Times New Roman"/>
          <w:color w:val="001D35"/>
          <w:kern w:val="0"/>
          <w14:ligatures w14:val="none"/>
        </w:rPr>
        <w:t> Liver injury, fulminant hepatic failure, liver transplant, and death.</w:t>
      </w:r>
    </w:p>
    <w:p w:rsidR="00A73D8E" w:rsidRPr="00720CEF" w:rsidRDefault="00A73D8E" w:rsidP="00A73D8E">
      <w:pPr>
        <w:numPr>
          <w:ilvl w:val="0"/>
          <w:numId w:val="2"/>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t>Other organs:</w:t>
      </w:r>
      <w:r w:rsidRPr="00720CEF">
        <w:rPr>
          <w:rFonts w:ascii="Roboto" w:eastAsia="Times New Roman" w:hAnsi="Roboto" w:cs="Times New Roman"/>
          <w:color w:val="001D35"/>
          <w:kern w:val="0"/>
          <w14:ligatures w14:val="none"/>
        </w:rPr>
        <w:t> Renal failure and pancreatitis.</w:t>
      </w:r>
    </w:p>
    <w:p w:rsidR="00A73D8E" w:rsidRPr="00720CEF" w:rsidRDefault="00A73D8E" w:rsidP="00A73D8E">
      <w:pPr>
        <w:numPr>
          <w:ilvl w:val="0"/>
          <w:numId w:val="2"/>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t>Gastrointestinal:</w:t>
      </w:r>
      <w:r w:rsidRPr="00720CEF">
        <w:rPr>
          <w:rFonts w:ascii="Roboto" w:eastAsia="Times New Roman" w:hAnsi="Roboto" w:cs="Times New Roman"/>
          <w:color w:val="001D35"/>
          <w:kern w:val="0"/>
          <w14:ligatures w14:val="none"/>
        </w:rPr>
        <w:t> Nausea, vomiting, anorexia, and abdominal pain.</w:t>
      </w:r>
    </w:p>
    <w:p w:rsidR="00A73D8E" w:rsidRPr="00720CEF" w:rsidRDefault="00A73D8E" w:rsidP="00A73D8E">
      <w:pPr>
        <w:numPr>
          <w:ilvl w:val="0"/>
          <w:numId w:val="2"/>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t>Neurological:</w:t>
      </w:r>
      <w:r w:rsidRPr="00720CEF">
        <w:rPr>
          <w:rFonts w:ascii="Roboto" w:eastAsia="Times New Roman" w:hAnsi="Roboto" w:cs="Times New Roman"/>
          <w:color w:val="001D35"/>
          <w:kern w:val="0"/>
          <w14:ligatures w14:val="none"/>
        </w:rPr>
        <w:t> Hepatic encephalopathy and confusion. </w:t>
      </w:r>
    </w:p>
    <w:p w:rsidR="00A73D8E" w:rsidRPr="0035151D" w:rsidRDefault="00A73D8E" w:rsidP="00A73D8E">
      <w:pPr>
        <w:spacing w:after="0" w:line="240" w:lineRule="auto"/>
        <w:rPr>
          <w:rFonts w:ascii="Roboto" w:eastAsia="Times New Roman" w:hAnsi="Roboto" w:cs="Times New Roman"/>
          <w:color w:val="001D35"/>
          <w:kern w:val="0"/>
          <w:sz w:val="32"/>
          <w:szCs w:val="32"/>
          <w14:ligatures w14:val="none"/>
        </w:rPr>
      </w:pPr>
      <w:r w:rsidRPr="0035151D">
        <w:rPr>
          <w:rFonts w:ascii="Roboto" w:eastAsia="Times New Roman" w:hAnsi="Roboto" w:cs="Times New Roman"/>
          <w:b/>
          <w:bCs/>
          <w:color w:val="001D35"/>
          <w:kern w:val="0"/>
          <w:sz w:val="32"/>
          <w:szCs w:val="32"/>
          <w14:ligatures w14:val="none"/>
        </w:rPr>
        <w:t>Fetal effects</w:t>
      </w:r>
    </w:p>
    <w:p w:rsidR="00A73D8E" w:rsidRPr="00720CEF" w:rsidRDefault="00A73D8E" w:rsidP="00A73D8E">
      <w:pPr>
        <w:numPr>
          <w:ilvl w:val="0"/>
          <w:numId w:val="1"/>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t>Fetal hepatotoxicity:</w:t>
      </w:r>
      <w:r w:rsidRPr="00720CEF">
        <w:rPr>
          <w:rFonts w:ascii="Roboto" w:eastAsia="Times New Roman" w:hAnsi="Roboto" w:cs="Times New Roman"/>
          <w:color w:val="001D35"/>
          <w:kern w:val="0"/>
          <w14:ligatures w14:val="none"/>
        </w:rPr>
        <w:t> The fetus's developing liver can suffer direct damage, especially in the third trimester.</w:t>
      </w:r>
    </w:p>
    <w:p w:rsidR="00A73D8E" w:rsidRDefault="00A73D8E" w:rsidP="00A73D8E">
      <w:pPr>
        <w:numPr>
          <w:ilvl w:val="0"/>
          <w:numId w:val="1"/>
        </w:numP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t>Fetal death:</w:t>
      </w:r>
      <w:r w:rsidRPr="00720CEF">
        <w:rPr>
          <w:rFonts w:ascii="Roboto" w:eastAsia="Times New Roman" w:hAnsi="Roboto" w:cs="Times New Roman"/>
          <w:color w:val="001D35"/>
          <w:kern w:val="0"/>
          <w14:ligatures w14:val="none"/>
        </w:rPr>
        <w:t> Overdose can lead to spontaneous abortion and fetal demise in all trimesters, with late presentation of maternal toxicity being a significant risk factor.</w:t>
      </w:r>
    </w:p>
    <w:p w:rsidR="00A73D8E" w:rsidRPr="00A73D8E" w:rsidRDefault="00A73D8E" w:rsidP="00A73D8E">
      <w:pPr>
        <w:numPr>
          <w:ilvl w:val="0"/>
          <w:numId w:val="1"/>
        </w:numPr>
        <w:pBdr>
          <w:bottom w:val="single" w:sz="12" w:space="1" w:color="auto"/>
        </w:pBd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lastRenderedPageBreak/>
        <w:t>Premature birth:</w:t>
      </w:r>
      <w:r w:rsidRPr="00720CEF">
        <w:rPr>
          <w:rFonts w:ascii="Roboto" w:eastAsia="Times New Roman" w:hAnsi="Roboto" w:cs="Times New Roman"/>
          <w:color w:val="001D35"/>
          <w:kern w:val="0"/>
          <w14:ligatures w14:val="none"/>
        </w:rPr>
        <w:t> Acetaminophen overdose can induce premature labor.</w:t>
      </w:r>
      <w:r w:rsidRPr="00A73D8E">
        <w:rPr>
          <w:rFonts w:ascii="Roboto" w:eastAsia="Times New Roman" w:hAnsi="Roboto" w:cs="Times New Roman"/>
          <w:b/>
          <w:bCs/>
          <w:color w:val="001D35"/>
          <w:kern w:val="0"/>
          <w14:ligatures w14:val="none"/>
        </w:rPr>
        <w:t xml:space="preserve"> </w:t>
      </w:r>
    </w:p>
    <w:p w:rsidR="00A73D8E" w:rsidRDefault="00A73D8E" w:rsidP="00A73D8E">
      <w:pPr>
        <w:numPr>
          <w:ilvl w:val="0"/>
          <w:numId w:val="1"/>
        </w:numPr>
        <w:pBdr>
          <w:bottom w:val="single" w:sz="12" w:space="1" w:color="auto"/>
        </w:pBdr>
        <w:spacing w:after="240" w:line="240" w:lineRule="auto"/>
        <w:rPr>
          <w:rFonts w:ascii="Roboto" w:eastAsia="Times New Roman" w:hAnsi="Roboto" w:cs="Times New Roman"/>
          <w:color w:val="001D35"/>
          <w:kern w:val="0"/>
          <w14:ligatures w14:val="none"/>
        </w:rPr>
      </w:pPr>
      <w:r w:rsidRPr="00720CEF">
        <w:rPr>
          <w:rFonts w:ascii="Roboto" w:eastAsia="Times New Roman" w:hAnsi="Roboto" w:cs="Times New Roman"/>
          <w:b/>
          <w:bCs/>
          <w:color w:val="001D35"/>
          <w:kern w:val="0"/>
          <w14:ligatures w14:val="none"/>
        </w:rPr>
        <w:t>Neurodevelopmental:</w:t>
      </w:r>
      <w:r w:rsidRPr="00720CEF">
        <w:rPr>
          <w:rFonts w:ascii="Roboto" w:eastAsia="Times New Roman" w:hAnsi="Roboto" w:cs="Times New Roman"/>
          <w:color w:val="001D35"/>
          <w:kern w:val="0"/>
          <w14:ligatures w14:val="none"/>
        </w:rPr>
        <w:t xml:space="preserve"> Some studies suggest an association between prenatal APAP exposure at therapeutic doses and an increased risk of ADHD and other </w:t>
      </w:r>
      <w:r w:rsidRPr="00A87FB5">
        <w:rPr>
          <w:rFonts w:ascii="Roboto" w:eastAsia="Times New Roman" w:hAnsi="Roboto" w:cs="Times New Roman"/>
          <w:color w:val="001D35"/>
          <w:kern w:val="0"/>
          <w14:ligatures w14:val="none"/>
        </w:rPr>
        <w:t>neurodevelopmental disorders, but data remains observation</w:t>
      </w:r>
      <w:r>
        <w:rPr>
          <w:rFonts w:ascii="Roboto" w:eastAsia="Times New Roman" w:hAnsi="Roboto" w:cs="Times New Roman"/>
          <w:color w:val="001D35"/>
          <w:kern w:val="0"/>
          <w14:ligatures w14:val="none"/>
        </w:rPr>
        <w:t>al</w:t>
      </w:r>
    </w:p>
    <w:p w:rsidR="0037581A" w:rsidRDefault="0037581A" w:rsidP="0037581A">
      <w:pPr>
        <w:pStyle w:val="ListParagraph"/>
      </w:pPr>
    </w:p>
    <w:p w:rsidR="0037581A" w:rsidRDefault="0037581A" w:rsidP="0037581A">
      <w:pPr>
        <w:pStyle w:val="ListParagraph"/>
      </w:pPr>
    </w:p>
    <w:p w:rsidR="0037581A" w:rsidRDefault="0037581A" w:rsidP="0037581A">
      <w:pPr>
        <w:pStyle w:val="ListParagraph"/>
      </w:pPr>
    </w:p>
    <w:p w:rsidR="0037581A" w:rsidRDefault="0037581A" w:rsidP="0037581A">
      <w:pPr>
        <w:pStyle w:val="ListParagraph"/>
      </w:pPr>
    </w:p>
    <w:p w:rsidR="00A73D8E" w:rsidRDefault="00A73D8E" w:rsidP="0037581A">
      <w:pPr>
        <w:pStyle w:val="ListParagraph"/>
      </w:pPr>
      <w:r>
        <w:rPr>
          <w:noProof/>
        </w:rPr>
        <w:drawing>
          <wp:inline distT="0" distB="0" distL="0" distR="0" wp14:anchorId="55F72034" wp14:editId="049B3B71">
            <wp:extent cx="3391001" cy="5816991"/>
            <wp:effectExtent l="0" t="0" r="0" b="0"/>
            <wp:docPr id="10177313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7731359" name="Picture 1017731359"/>
                    <pic:cNvPicPr/>
                  </pic:nvPicPr>
                  <pic:blipFill>
                    <a:blip r:embed="rId14">
                      <a:extLst>
                        <a:ext uri="{28A0092B-C50C-407E-A947-70E740481C1C}">
                          <a14:useLocalDpi xmlns:a14="http://schemas.microsoft.com/office/drawing/2010/main" val="0"/>
                        </a:ext>
                      </a:extLst>
                    </a:blip>
                    <a:stretch>
                      <a:fillRect/>
                    </a:stretch>
                  </pic:blipFill>
                  <pic:spPr>
                    <a:xfrm>
                      <a:off x="0" y="0"/>
                      <a:ext cx="3395776" cy="5825183"/>
                    </a:xfrm>
                    <a:prstGeom prst="rect">
                      <a:avLst/>
                    </a:prstGeom>
                  </pic:spPr>
                </pic:pic>
              </a:graphicData>
            </a:graphic>
          </wp:inline>
        </w:drawing>
      </w:r>
    </w:p>
    <w:p w:rsidR="0037581A" w:rsidRDefault="0037581A" w:rsidP="0037581A">
      <w:pPr>
        <w:pStyle w:val="ListParagraph"/>
      </w:pPr>
    </w:p>
    <w:p w:rsidR="0037581A" w:rsidRDefault="0037581A" w:rsidP="0037581A">
      <w:pPr>
        <w:pStyle w:val="ListParagraph"/>
      </w:pPr>
    </w:p>
    <w:p w:rsidR="00A73D8E" w:rsidRPr="00720CEF" w:rsidRDefault="00A73D8E" w:rsidP="00A73D8E">
      <w:pPr>
        <w:spacing w:after="240" w:line="240" w:lineRule="auto"/>
        <w:ind w:left="720"/>
        <w:rPr>
          <w:rFonts w:ascii="Roboto" w:eastAsia="Times New Roman" w:hAnsi="Roboto" w:cs="Times New Roman"/>
          <w:color w:val="001D35"/>
          <w:kern w:val="0"/>
          <w14:ligatures w14:val="none"/>
        </w:rPr>
      </w:pPr>
    </w:p>
    <w:p w:rsidR="00E617DC" w:rsidRPr="00410FEC" w:rsidRDefault="0037581A">
      <w:pPr>
        <w:rPr>
          <w:b/>
          <w:bCs/>
          <w:sz w:val="40"/>
          <w:szCs w:val="40"/>
        </w:rPr>
      </w:pPr>
      <w:r w:rsidRPr="00410FEC">
        <w:rPr>
          <w:b/>
          <w:bCs/>
          <w:sz w:val="40"/>
          <w:szCs w:val="40"/>
        </w:rPr>
        <w:t>MENTAL HEALTH, SUICIDES AND HOMICIDES</w:t>
      </w:r>
    </w:p>
    <w:p w:rsidR="0037581A" w:rsidRPr="00066E56" w:rsidRDefault="0037581A" w:rsidP="0037581A">
      <w:pPr>
        <w:spacing w:before="100" w:beforeAutospacing="1" w:after="100" w:afterAutospacing="1" w:line="240" w:lineRule="auto"/>
        <w:rPr>
          <w:rFonts w:ascii="Times New Roman" w:eastAsia="Times New Roman" w:hAnsi="Times New Roman" w:cs="Times New Roman"/>
          <w:color w:val="000000"/>
        </w:rPr>
      </w:pPr>
      <w:r w:rsidRPr="00066E56">
        <w:rPr>
          <w:rFonts w:ascii="Times New Roman" w:eastAsia="Times New Roman" w:hAnsi="Times New Roman" w:cs="Times New Roman"/>
          <w:color w:val="000000"/>
        </w:rPr>
        <w:t>Beyond early childhood, pharmacogenetic variability continues to impact drug metabolism throughout life. Ineffective detoxification can lead to toxin accumulation, contributing to neurological and psychiatric conditions such as ADHD, depression, bipolar disorder, OCD, and even more severe outcomes. Emerging evidence suggests that impaired CYP450 function may play a role in the rising incidence of mental health disorders, suicides, and violent behaviors, particularly in individuals exposed to both environmental toxins and psychiatric drugs.</w:t>
      </w:r>
    </w:p>
    <w:p w:rsidR="0037581A" w:rsidRPr="0037581A" w:rsidRDefault="0037581A">
      <w:pPr>
        <w:rPr>
          <w:b/>
          <w:bCs/>
        </w:rPr>
      </w:pPr>
      <w:r w:rsidRPr="0037581A">
        <w:rPr>
          <w:b/>
          <w:bCs/>
        </w:rPr>
        <w:t>EXAMPLE:</w:t>
      </w:r>
    </w:p>
    <w:p w:rsidR="0037581A" w:rsidRPr="00460232" w:rsidRDefault="0037581A" w:rsidP="0037581A">
      <w:pPr>
        <w:spacing w:before="100" w:beforeAutospacing="1" w:after="100" w:afterAutospacing="1" w:line="240" w:lineRule="auto"/>
        <w:rPr>
          <w:rFonts w:ascii="Times New Roman" w:eastAsia="Times New Roman" w:hAnsi="Times New Roman" w:cs="Times New Roman"/>
          <w:color w:val="000000"/>
          <w:kern w:val="0"/>
          <w14:ligatures w14:val="none"/>
        </w:rPr>
      </w:pPr>
      <w:r w:rsidRPr="00460232">
        <w:rPr>
          <w:rFonts w:ascii="Times New Roman" w:eastAsia="Times New Roman" w:hAnsi="Times New Roman" w:cs="Times New Roman"/>
          <w:color w:val="000000"/>
          <w:kern w:val="0"/>
          <w14:ligatures w14:val="none"/>
        </w:rPr>
        <w:t>Adam Lanza exhibited signs of developmental challenges from an early age, including communication deficits, sensory sensitivities, delayed socialization, and repetitive behaviors—all commonly associated with autism spectrum disorder. He was later diagnosed with Asperger's syndrome.</w:t>
      </w:r>
    </w:p>
    <w:p w:rsidR="0037581A" w:rsidRPr="00460232" w:rsidRDefault="0037581A" w:rsidP="0037581A">
      <w:pPr>
        <w:spacing w:before="100" w:beforeAutospacing="1" w:after="100" w:afterAutospacing="1" w:line="240" w:lineRule="auto"/>
        <w:rPr>
          <w:rFonts w:ascii="Times New Roman" w:eastAsia="Times New Roman" w:hAnsi="Times New Roman" w:cs="Times New Roman"/>
          <w:color w:val="000000"/>
          <w:kern w:val="0"/>
          <w14:ligatures w14:val="none"/>
        </w:rPr>
      </w:pPr>
      <w:r w:rsidRPr="00460232">
        <w:rPr>
          <w:rFonts w:ascii="Times New Roman" w:eastAsia="Times New Roman" w:hAnsi="Times New Roman" w:cs="Times New Roman"/>
          <w:color w:val="000000"/>
          <w:kern w:val="0"/>
          <w14:ligatures w14:val="none"/>
        </w:rPr>
        <w:t>Lanza was treated by Dr. Robert King, who recommended comprehensive support services and prescribed the antidepressant </w:t>
      </w:r>
      <w:r w:rsidRPr="00460232">
        <w:rPr>
          <w:rFonts w:ascii="Times New Roman" w:eastAsia="Times New Roman" w:hAnsi="Times New Roman" w:cs="Times New Roman"/>
          <w:b/>
          <w:bCs/>
          <w:color w:val="000000"/>
          <w:kern w:val="0"/>
          <w14:ligatures w14:val="none"/>
        </w:rPr>
        <w:t>Celexa</w:t>
      </w:r>
      <w:r w:rsidRPr="00460232">
        <w:rPr>
          <w:rFonts w:ascii="Times New Roman" w:eastAsia="Times New Roman" w:hAnsi="Times New Roman" w:cs="Times New Roman"/>
          <w:color w:val="000000"/>
          <w:kern w:val="0"/>
          <w14:ligatures w14:val="none"/>
        </w:rPr>
        <w:t> (citalopram). However, after taking the medication for just three days, Lanza experienced severe adverse reactions. According to his mother, he became dizzy, disoriented, and cognitively impaired, unable to perform basic tasks such as opening a cereal box. He also suffered from profuse sweating and nearly vegetative behavior. As a result of these alarming side effects, the medication was discontinued. The severity of Lanza’s response strongly suggests that </w:t>
      </w:r>
      <w:r w:rsidRPr="00460232">
        <w:rPr>
          <w:rFonts w:ascii="Times New Roman" w:eastAsia="Times New Roman" w:hAnsi="Times New Roman" w:cs="Times New Roman"/>
          <w:b/>
          <w:bCs/>
          <w:color w:val="000000"/>
          <w:kern w:val="0"/>
          <w14:ligatures w14:val="none"/>
        </w:rPr>
        <w:t>Celexa was contraindicated</w:t>
      </w:r>
      <w:r w:rsidRPr="00460232">
        <w:rPr>
          <w:rFonts w:ascii="Times New Roman" w:eastAsia="Times New Roman" w:hAnsi="Times New Roman" w:cs="Times New Roman"/>
          <w:color w:val="000000"/>
          <w:kern w:val="0"/>
          <w14:ligatures w14:val="none"/>
        </w:rPr>
        <w:t> for his specific biological profile.</w:t>
      </w:r>
    </w:p>
    <w:p w:rsidR="0037581A" w:rsidRDefault="0037581A" w:rsidP="0037581A">
      <w:pPr>
        <w:spacing w:before="100" w:beforeAutospacing="1" w:after="100" w:afterAutospacing="1" w:line="240" w:lineRule="auto"/>
        <w:rPr>
          <w:rFonts w:ascii="Times New Roman" w:eastAsia="Times New Roman" w:hAnsi="Times New Roman" w:cs="Times New Roman"/>
          <w:color w:val="000000"/>
          <w:kern w:val="0"/>
          <w14:ligatures w14:val="none"/>
        </w:rPr>
      </w:pPr>
      <w:r w:rsidRPr="00460232">
        <w:rPr>
          <w:rFonts w:ascii="Times New Roman" w:eastAsia="Times New Roman" w:hAnsi="Times New Roman" w:cs="Times New Roman"/>
          <w:color w:val="000000"/>
          <w:kern w:val="0"/>
          <w14:ligatures w14:val="none"/>
        </w:rPr>
        <w:t>Celexa (citalopram) is primarily metabolized in the liver by the </w:t>
      </w:r>
      <w:r w:rsidRPr="00460232">
        <w:rPr>
          <w:rFonts w:ascii="Times New Roman" w:eastAsia="Times New Roman" w:hAnsi="Times New Roman" w:cs="Times New Roman"/>
          <w:b/>
          <w:bCs/>
          <w:color w:val="000000"/>
          <w:kern w:val="0"/>
          <w14:ligatures w14:val="none"/>
        </w:rPr>
        <w:t>CYP2C19</w:t>
      </w:r>
      <w:r w:rsidRPr="00460232">
        <w:rPr>
          <w:rFonts w:ascii="Times New Roman" w:eastAsia="Times New Roman" w:hAnsi="Times New Roman" w:cs="Times New Roman"/>
          <w:color w:val="000000"/>
          <w:kern w:val="0"/>
          <w14:ligatures w14:val="none"/>
        </w:rPr>
        <w:t> enzyme, with additional involvement from </w:t>
      </w:r>
      <w:r w:rsidRPr="00460232">
        <w:rPr>
          <w:rFonts w:ascii="Times New Roman" w:eastAsia="Times New Roman" w:hAnsi="Times New Roman" w:cs="Times New Roman"/>
          <w:b/>
          <w:bCs/>
          <w:color w:val="000000"/>
          <w:kern w:val="0"/>
          <w14:ligatures w14:val="none"/>
        </w:rPr>
        <w:t>CYP3A4</w:t>
      </w:r>
      <w:r w:rsidRPr="00460232">
        <w:rPr>
          <w:rFonts w:ascii="Times New Roman" w:eastAsia="Times New Roman" w:hAnsi="Times New Roman" w:cs="Times New Roman"/>
          <w:color w:val="000000"/>
          <w:kern w:val="0"/>
          <w14:ligatures w14:val="none"/>
        </w:rPr>
        <w:t> and </w:t>
      </w:r>
      <w:r w:rsidRPr="00460232">
        <w:rPr>
          <w:rFonts w:ascii="Times New Roman" w:eastAsia="Times New Roman" w:hAnsi="Times New Roman" w:cs="Times New Roman"/>
          <w:b/>
          <w:bCs/>
          <w:color w:val="000000"/>
          <w:kern w:val="0"/>
          <w14:ligatures w14:val="none"/>
        </w:rPr>
        <w:t>CYP2D6</w:t>
      </w:r>
      <w:r w:rsidRPr="00460232">
        <w:rPr>
          <w:rFonts w:ascii="Times New Roman" w:eastAsia="Times New Roman" w:hAnsi="Times New Roman" w:cs="Times New Roman"/>
          <w:color w:val="000000"/>
          <w:kern w:val="0"/>
          <w14:ligatures w14:val="none"/>
        </w:rPr>
        <w:t>, all part of the </w:t>
      </w:r>
      <w:r w:rsidRPr="00460232">
        <w:rPr>
          <w:rFonts w:ascii="Times New Roman" w:eastAsia="Times New Roman" w:hAnsi="Times New Roman" w:cs="Times New Roman"/>
          <w:b/>
          <w:bCs/>
          <w:color w:val="000000"/>
          <w:kern w:val="0"/>
          <w14:ligatures w14:val="none"/>
        </w:rPr>
        <w:t>Cytochrome P450 enzyme family</w:t>
      </w:r>
      <w:r w:rsidRPr="00460232">
        <w:rPr>
          <w:rFonts w:ascii="Times New Roman" w:eastAsia="Times New Roman" w:hAnsi="Times New Roman" w:cs="Times New Roman"/>
          <w:color w:val="000000"/>
          <w:kern w:val="0"/>
          <w14:ligatures w14:val="none"/>
        </w:rPr>
        <w:t>. Pharmacogenetic studies have demonstrated a significant relationship between CYP2C19 genetic variations and a patient's ability to metabolize citalopram and escitalopram effectively. Individuals with certain genetic profiles, such as **CYP2C19</w:t>
      </w:r>
      <w:r w:rsidRPr="00460232">
        <w:rPr>
          <w:rFonts w:ascii="Times New Roman" w:eastAsia="Times New Roman" w:hAnsi="Times New Roman" w:cs="Times New Roman"/>
          <w:i/>
          <w:iCs/>
          <w:color w:val="000000"/>
          <w:kern w:val="0"/>
          <w14:ligatures w14:val="none"/>
        </w:rPr>
        <w:t>2 or 3</w:t>
      </w:r>
      <w:r w:rsidRPr="00460232">
        <w:rPr>
          <w:rFonts w:ascii="Times New Roman" w:eastAsia="Times New Roman" w:hAnsi="Times New Roman" w:cs="Times New Roman"/>
          <w:color w:val="000000"/>
          <w:kern w:val="0"/>
          <w14:ligatures w14:val="none"/>
        </w:rPr>
        <w:t> (loss-of-function alleles) or </w:t>
      </w:r>
      <w:r w:rsidRPr="00460232">
        <w:rPr>
          <w:rFonts w:ascii="Times New Roman" w:eastAsia="Times New Roman" w:hAnsi="Times New Roman" w:cs="Times New Roman"/>
          <w:b/>
          <w:bCs/>
          <w:color w:val="000000"/>
          <w:kern w:val="0"/>
          <w14:ligatures w14:val="none"/>
        </w:rPr>
        <w:t>CYP2C19*17</w:t>
      </w:r>
      <w:r w:rsidRPr="00460232">
        <w:rPr>
          <w:rFonts w:ascii="Times New Roman" w:eastAsia="Times New Roman" w:hAnsi="Times New Roman" w:cs="Times New Roman"/>
          <w:color w:val="000000"/>
          <w:kern w:val="0"/>
          <w14:ligatures w14:val="none"/>
        </w:rPr>
        <w:t> (gain-of-function allele), may experience altered drug exposure, resulting in either drug accumulation or ineffective treatment—both of which can lead to severe psychiatric consequences.</w:t>
      </w:r>
    </w:p>
    <w:p w:rsidR="0037581A" w:rsidRDefault="0037581A" w:rsidP="0037581A">
      <w:pPr>
        <w:spacing w:before="100" w:beforeAutospacing="1" w:after="100" w:afterAutospacing="1" w:line="240" w:lineRule="auto"/>
        <w:rPr>
          <w:rFonts w:ascii="Times New Roman" w:eastAsia="Times New Roman" w:hAnsi="Times New Roman" w:cs="Times New Roman"/>
          <w:color w:val="000000"/>
          <w:kern w:val="0"/>
          <w14:ligatures w14:val="none"/>
        </w:rPr>
      </w:pPr>
      <w:r w:rsidRPr="00E776F6">
        <w:rPr>
          <w:rFonts w:ascii="Times New Roman" w:eastAsia="Times New Roman" w:hAnsi="Times New Roman" w:cs="Times New Roman"/>
          <w:color w:val="000000"/>
          <w:kern w:val="0"/>
          <w14:ligatures w14:val="none"/>
        </w:rPr>
        <w:t>Both </w:t>
      </w:r>
      <w:r w:rsidRPr="00E776F6">
        <w:rPr>
          <w:rFonts w:ascii="Times New Roman" w:eastAsia="Times New Roman" w:hAnsi="Times New Roman" w:cs="Times New Roman"/>
          <w:b/>
          <w:bCs/>
          <w:color w:val="000000"/>
          <w:kern w:val="0"/>
          <w14:ligatures w14:val="none"/>
        </w:rPr>
        <w:t>prescription and recreational drugs</w:t>
      </w:r>
      <w:r w:rsidRPr="00E776F6">
        <w:rPr>
          <w:rFonts w:ascii="Times New Roman" w:eastAsia="Times New Roman" w:hAnsi="Times New Roman" w:cs="Times New Roman"/>
          <w:color w:val="000000"/>
          <w:kern w:val="0"/>
          <w14:ligatures w14:val="none"/>
        </w:rPr>
        <w:t> are metabolized by the </w:t>
      </w:r>
      <w:r w:rsidRPr="00E776F6">
        <w:rPr>
          <w:rFonts w:ascii="Times New Roman" w:eastAsia="Times New Roman" w:hAnsi="Times New Roman" w:cs="Times New Roman"/>
          <w:b/>
          <w:bCs/>
          <w:color w:val="000000"/>
          <w:kern w:val="0"/>
          <w14:ligatures w14:val="none"/>
        </w:rPr>
        <w:t>Cytochrome P450 enzyme system</w:t>
      </w:r>
      <w:r w:rsidRPr="00E776F6">
        <w:rPr>
          <w:rFonts w:ascii="Times New Roman" w:eastAsia="Times New Roman" w:hAnsi="Times New Roman" w:cs="Times New Roman"/>
          <w:color w:val="000000"/>
          <w:kern w:val="0"/>
          <w14:ligatures w14:val="none"/>
        </w:rPr>
        <w:t>, wh</w:t>
      </w:r>
      <w:r w:rsidR="0075430E">
        <w:rPr>
          <w:rFonts w:ascii="Times New Roman" w:eastAsia="Times New Roman" w:hAnsi="Times New Roman" w:cs="Times New Roman"/>
          <w:color w:val="000000"/>
          <w:kern w:val="0"/>
          <w14:ligatures w14:val="none"/>
        </w:rPr>
        <w:t xml:space="preserve">ose successful detoxification </w:t>
      </w:r>
      <w:r w:rsidRPr="00E776F6">
        <w:rPr>
          <w:rFonts w:ascii="Times New Roman" w:eastAsia="Times New Roman" w:hAnsi="Times New Roman" w:cs="Times New Roman"/>
          <w:color w:val="000000"/>
          <w:kern w:val="0"/>
          <w14:ligatures w14:val="none"/>
        </w:rPr>
        <w:t>is subject to </w:t>
      </w:r>
      <w:r w:rsidR="0075430E">
        <w:rPr>
          <w:rFonts w:ascii="Times New Roman" w:eastAsia="Times New Roman" w:hAnsi="Times New Roman" w:cs="Times New Roman"/>
          <w:color w:val="000000"/>
          <w:kern w:val="0"/>
          <w14:ligatures w14:val="none"/>
        </w:rPr>
        <w:t xml:space="preserve">individual </w:t>
      </w:r>
      <w:r w:rsidRPr="00E776F6">
        <w:rPr>
          <w:rFonts w:ascii="Times New Roman" w:eastAsia="Times New Roman" w:hAnsi="Times New Roman" w:cs="Times New Roman"/>
          <w:b/>
          <w:bCs/>
          <w:color w:val="000000"/>
          <w:kern w:val="0"/>
          <w14:ligatures w14:val="none"/>
        </w:rPr>
        <w:t>genetic variability</w:t>
      </w:r>
      <w:r w:rsidRPr="00E776F6">
        <w:rPr>
          <w:rFonts w:ascii="Times New Roman" w:eastAsia="Times New Roman" w:hAnsi="Times New Roman" w:cs="Times New Roman"/>
          <w:color w:val="000000"/>
          <w:kern w:val="0"/>
          <w14:ligatures w14:val="none"/>
        </w:rPr>
        <w:t xml:space="preserve">. </w:t>
      </w:r>
    </w:p>
    <w:p w:rsidR="0075430E" w:rsidRPr="00460232" w:rsidRDefault="0075430E" w:rsidP="0037581A">
      <w:pPr>
        <w:spacing w:before="100" w:beforeAutospacing="1" w:after="100" w:afterAutospacing="1" w:line="240" w:lineRule="auto"/>
        <w:rPr>
          <w:rFonts w:ascii="Times New Roman" w:eastAsia="Times New Roman" w:hAnsi="Times New Roman" w:cs="Times New Roman"/>
          <w:color w:val="000000"/>
          <w:kern w:val="0"/>
          <w14:ligatures w14:val="none"/>
        </w:rPr>
      </w:pPr>
      <w:r>
        <w:rPr>
          <w:rFonts w:ascii="Times New Roman" w:eastAsia="Times New Roman" w:hAnsi="Times New Roman" w:cs="Times New Roman"/>
          <w:noProof/>
          <w:color w:val="000000"/>
          <w:kern w:val="0"/>
        </w:rPr>
        <w:lastRenderedPageBreak/>
        <w:drawing>
          <wp:inline distT="0" distB="0" distL="0" distR="0">
            <wp:extent cx="3587262" cy="2888206"/>
            <wp:effectExtent l="0" t="0" r="0" b="0"/>
            <wp:docPr id="10943609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360973" name="Picture 1094360973"/>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95969" cy="2895217"/>
                    </a:xfrm>
                    <a:prstGeom prst="rect">
                      <a:avLst/>
                    </a:prstGeom>
                  </pic:spPr>
                </pic:pic>
              </a:graphicData>
            </a:graphic>
          </wp:inline>
        </w:drawing>
      </w:r>
    </w:p>
    <w:p w:rsidR="0037581A" w:rsidRPr="0037581A" w:rsidRDefault="0037581A"/>
    <w:sectPr w:rsidR="0037581A" w:rsidRPr="0037581A" w:rsidSect="004E72D1">
      <w:pgSz w:w="12240" w:h="15840"/>
      <w:pgMar w:top="1215"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C791A"/>
    <w:multiLevelType w:val="multilevel"/>
    <w:tmpl w:val="6AF8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1061E8"/>
    <w:multiLevelType w:val="multilevel"/>
    <w:tmpl w:val="B9CA26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11367E"/>
    <w:multiLevelType w:val="multilevel"/>
    <w:tmpl w:val="9664F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6C79A8"/>
    <w:multiLevelType w:val="multilevel"/>
    <w:tmpl w:val="E3EA4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706947">
    <w:abstractNumId w:val="3"/>
  </w:num>
  <w:num w:numId="2" w16cid:durableId="575673687">
    <w:abstractNumId w:val="0"/>
  </w:num>
  <w:num w:numId="3" w16cid:durableId="1869367104">
    <w:abstractNumId w:val="1"/>
  </w:num>
  <w:num w:numId="4" w16cid:durableId="4853627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8E"/>
    <w:rsid w:val="00017479"/>
    <w:rsid w:val="00181DF3"/>
    <w:rsid w:val="0037581A"/>
    <w:rsid w:val="00410FEC"/>
    <w:rsid w:val="0048685D"/>
    <w:rsid w:val="004E72D1"/>
    <w:rsid w:val="00612BAD"/>
    <w:rsid w:val="0075430E"/>
    <w:rsid w:val="00867EFF"/>
    <w:rsid w:val="00A73D8E"/>
    <w:rsid w:val="00B030D0"/>
    <w:rsid w:val="00B206B4"/>
    <w:rsid w:val="00CC4B51"/>
    <w:rsid w:val="00DC5A29"/>
    <w:rsid w:val="00DD5468"/>
    <w:rsid w:val="00E43A17"/>
    <w:rsid w:val="00E52764"/>
    <w:rsid w:val="00E617DC"/>
    <w:rsid w:val="00F330F8"/>
    <w:rsid w:val="00F47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0F573"/>
  <w15:chartTrackingRefBased/>
  <w15:docId w15:val="{AB47EE77-48A4-8D4D-8DBE-F3CBD78FC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8E"/>
  </w:style>
  <w:style w:type="paragraph" w:styleId="Heading1">
    <w:name w:val="heading 1"/>
    <w:basedOn w:val="Normal"/>
    <w:next w:val="Normal"/>
    <w:link w:val="Heading1Char"/>
    <w:uiPriority w:val="9"/>
    <w:qFormat/>
    <w:rsid w:val="00A73D8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3D8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3D8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3D8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3D8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3D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8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3D8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3D8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3D8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3D8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3D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8E"/>
    <w:rPr>
      <w:rFonts w:eastAsiaTheme="majorEastAsia" w:cstheme="majorBidi"/>
      <w:color w:val="272727" w:themeColor="text1" w:themeTint="D8"/>
    </w:rPr>
  </w:style>
  <w:style w:type="paragraph" w:styleId="Title">
    <w:name w:val="Title"/>
    <w:basedOn w:val="Normal"/>
    <w:next w:val="Normal"/>
    <w:link w:val="TitleChar"/>
    <w:uiPriority w:val="10"/>
    <w:qFormat/>
    <w:rsid w:val="00A73D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3D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3D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8E"/>
    <w:pPr>
      <w:spacing w:before="160"/>
      <w:jc w:val="center"/>
    </w:pPr>
    <w:rPr>
      <w:i/>
      <w:iCs/>
      <w:color w:val="404040" w:themeColor="text1" w:themeTint="BF"/>
    </w:rPr>
  </w:style>
  <w:style w:type="character" w:customStyle="1" w:styleId="QuoteChar">
    <w:name w:val="Quote Char"/>
    <w:basedOn w:val="DefaultParagraphFont"/>
    <w:link w:val="Quote"/>
    <w:uiPriority w:val="29"/>
    <w:rsid w:val="00A73D8E"/>
    <w:rPr>
      <w:i/>
      <w:iCs/>
      <w:color w:val="404040" w:themeColor="text1" w:themeTint="BF"/>
    </w:rPr>
  </w:style>
  <w:style w:type="paragraph" w:styleId="ListParagraph">
    <w:name w:val="List Paragraph"/>
    <w:basedOn w:val="Normal"/>
    <w:uiPriority w:val="34"/>
    <w:qFormat/>
    <w:rsid w:val="00A73D8E"/>
    <w:pPr>
      <w:ind w:left="720"/>
      <w:contextualSpacing/>
    </w:pPr>
  </w:style>
  <w:style w:type="character" w:styleId="IntenseEmphasis">
    <w:name w:val="Intense Emphasis"/>
    <w:basedOn w:val="DefaultParagraphFont"/>
    <w:uiPriority w:val="21"/>
    <w:qFormat/>
    <w:rsid w:val="00A73D8E"/>
    <w:rPr>
      <w:i/>
      <w:iCs/>
      <w:color w:val="2F5496" w:themeColor="accent1" w:themeShade="BF"/>
    </w:rPr>
  </w:style>
  <w:style w:type="paragraph" w:styleId="IntenseQuote">
    <w:name w:val="Intense Quote"/>
    <w:basedOn w:val="Normal"/>
    <w:next w:val="Normal"/>
    <w:link w:val="IntenseQuoteChar"/>
    <w:uiPriority w:val="30"/>
    <w:qFormat/>
    <w:rsid w:val="00A73D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3D8E"/>
    <w:rPr>
      <w:i/>
      <w:iCs/>
      <w:color w:val="2F5496" w:themeColor="accent1" w:themeShade="BF"/>
    </w:rPr>
  </w:style>
  <w:style w:type="character" w:styleId="IntenseReference">
    <w:name w:val="Intense Reference"/>
    <w:basedOn w:val="DefaultParagraphFont"/>
    <w:uiPriority w:val="32"/>
    <w:qFormat/>
    <w:rsid w:val="00A73D8E"/>
    <w:rPr>
      <w:b/>
      <w:bCs/>
      <w:smallCaps/>
      <w:color w:val="2F5496" w:themeColor="accent1" w:themeShade="BF"/>
      <w:spacing w:val="5"/>
    </w:rPr>
  </w:style>
  <w:style w:type="character" w:styleId="Hyperlink">
    <w:name w:val="Hyperlink"/>
    <w:basedOn w:val="DefaultParagraphFont"/>
    <w:uiPriority w:val="99"/>
    <w:unhideWhenUsed/>
    <w:rsid w:val="00A73D8E"/>
    <w:rPr>
      <w:color w:val="0563C1" w:themeColor="hyperlink"/>
      <w:u w:val="single"/>
    </w:rPr>
  </w:style>
  <w:style w:type="paragraph" w:styleId="NormalWeb">
    <w:name w:val="Normal (Web)"/>
    <w:basedOn w:val="Normal"/>
    <w:uiPriority w:val="99"/>
    <w:semiHidden/>
    <w:unhideWhenUsed/>
    <w:rsid w:val="00A73D8E"/>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A73D8E"/>
    <w:rPr>
      <w:b/>
      <w:bCs/>
    </w:rPr>
  </w:style>
  <w:style w:type="character" w:customStyle="1" w:styleId="apple-converted-space">
    <w:name w:val="apple-converted-space"/>
    <w:basedOn w:val="DefaultParagraphFont"/>
    <w:rsid w:val="00A73D8E"/>
  </w:style>
  <w:style w:type="character" w:customStyle="1" w:styleId="n9q8lc">
    <w:name w:val="n9q8lc"/>
    <w:basedOn w:val="DefaultParagraphFont"/>
    <w:rsid w:val="004E72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ildrenshealthdefense.org/defender/vaccines-toxic-ingredients-sids-some-infants-study/?utm_id=20250603" TargetMode="External"/><Relationship Id="rId13" Type="http://schemas.openxmlformats.org/officeDocument/2006/relationships/hyperlink" Target="https://www.google.com/search?client=safari&amp;rls=en&amp;q=CYP3A4&amp;ie=UTF-8&amp;oe=UTF-8&amp;mstk=AUtExfDw9EzFGV2ST_TBtC7vCNKUlJnJDGtSKAexVEyo2kYQBbV_AB47dIeDknjqzO4-1H9tF34yUx3n9ttC80l7-yl3K7Oyb-fNEblBZhKYngXI0j_8KUaF2dP2xKDeqVA8-6X3pGo65bn7UmaX8JNOnqbJtfXsA1DJ0uU5iW5Melk6uw8&amp;csui=3&amp;ved=2ahUKEwi__dfLteyPAxUPlokEHfHFAFYQgK4QegQIARAH" TargetMode="Externa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s://www.google.com/search?client=safari&amp;rls=en&amp;q=CYP2E1&amp;ie=UTF-8&amp;oe=UTF-8&amp;mstk=AUtExfDw9EzFGV2ST_TBtC7vCNKUlJnJDGtSKAexVEyo2kYQBbV_AB47dIeDknjqzO4-1H9tF34yUx3n9ttC80l7-yl3K7Oyb-fNEblBZhKYngXI0j_8KUaF2dP2xKDeqVA8-6X3pGo65bn7UmaX8JNOnqbJtfXsA1DJ0uU5iW5Melk6uw8&amp;csui=3&amp;ved=2ahUKEwi__dfLteyPAxUPlokEHfHFAFYQgK4QegQIARA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www.google.com/search?client=safari&amp;rls=en&amp;q=CYP1A2&amp;ie=UTF-8&amp;oe=UTF-8&amp;mstk=AUtExfDw9EzFGV2ST_TBtC7vCNKUlJnJDGtSKAexVEyo2kYQBbV_AB47dIeDknjqzO4-1H9tF34yUx3n9ttC80l7-yl3K7Oyb-fNEblBZhKYngXI0j_8KUaF2dP2xKDeqVA8-6X3pGo65bn7UmaX8JNOnqbJtfXsA1DJ0uU5iW5Melk6uw8&amp;csui=3&amp;ved=2ahUKEwi__dfLteyPAxUPlokEHfHFAFYQgK4QegQIARAF" TargetMode="External"/><Relationship Id="rId5" Type="http://schemas.openxmlformats.org/officeDocument/2006/relationships/image" Target="media/image1.jpeg"/><Relationship Id="rId15" Type="http://schemas.openxmlformats.org/officeDocument/2006/relationships/image" Target="media/image5.jpeg"/><Relationship Id="rId10" Type="http://schemas.openxmlformats.org/officeDocument/2006/relationships/hyperlink" Target="https://www.google.com/search?client=safari&amp;rls=en&amp;q=acetaminophen&amp;ie=UTF-8&amp;oe=UTF-8&amp;mstk=AUtExfDw9EzFGV2ST_TBtC7vCNKUlJnJDGtSKAexVEyo2kYQBbV_AB47dIeDknjqzO4-1H9tF34yUx3n9ttC80l7-yl3K7Oyb-fNEblBZhKYngXI0j_8KUaF2dP2xKDeqVA8-6X3pGo65bn7UmaX8JNOnqbJtfXsA1DJ0uU5iW5Melk6uw8&amp;csui=3&amp;ved=2ahUKEwi__dfLteyPAxUPlokEHfHFAFYQgK4QegQIARAE" TargetMode="External"/><Relationship Id="rId4" Type="http://schemas.openxmlformats.org/officeDocument/2006/relationships/webSettings" Target="webSettings.xml"/><Relationship Id="rId9" Type="http://schemas.openxmlformats.org/officeDocument/2006/relationships/hyperlink" Target="https://pmc.ncbi.nlm.nih.gov/articles/PMC12080585/?" TargetMode="External"/><Relationship Id="rId14"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7</Pages>
  <Words>1358</Words>
  <Characters>7745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Dannemann</dc:creator>
  <cp:keywords/>
  <dc:description/>
  <cp:lastModifiedBy>Eileen Dannemann</cp:lastModifiedBy>
  <cp:revision>3</cp:revision>
  <dcterms:created xsi:type="dcterms:W3CDTF">2025-09-28T21:14:00Z</dcterms:created>
  <dcterms:modified xsi:type="dcterms:W3CDTF">2025-09-28T22:31:00Z</dcterms:modified>
</cp:coreProperties>
</file>